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AE" w:rsidRDefault="00E51CAE" w:rsidP="00E51CAE">
      <w:pPr>
        <w:pStyle w:val="cjk"/>
        <w:spacing w:after="0" w:afterAutospacing="0" w:line="539" w:lineRule="atLeast"/>
        <w:jc w:val="center"/>
        <w:rPr>
          <w:sz w:val="21"/>
          <w:szCs w:val="21"/>
        </w:rPr>
      </w:pPr>
      <w:r>
        <w:rPr>
          <w:rStyle w:val="a4"/>
          <w:rFonts w:hint="eastAsia"/>
          <w:color w:val="000000"/>
          <w:sz w:val="48"/>
          <w:szCs w:val="48"/>
        </w:rPr>
        <w:t>江门市</w:t>
      </w:r>
      <w:r w:rsidR="000063F0">
        <w:rPr>
          <w:rStyle w:val="a4"/>
          <w:rFonts w:hint="eastAsia"/>
          <w:color w:val="000000"/>
          <w:sz w:val="48"/>
          <w:szCs w:val="48"/>
        </w:rPr>
        <w:t>新会区区级</w:t>
      </w:r>
      <w:r>
        <w:rPr>
          <w:rStyle w:val="a4"/>
          <w:rFonts w:hint="eastAsia"/>
          <w:color w:val="000000"/>
          <w:sz w:val="48"/>
          <w:szCs w:val="48"/>
        </w:rPr>
        <w:t>非营利组织免税资格</w:t>
      </w:r>
      <w:r>
        <w:rPr>
          <w:rStyle w:val="a4"/>
          <w:rFonts w:hint="eastAsia"/>
          <w:sz w:val="48"/>
          <w:szCs w:val="48"/>
        </w:rPr>
        <w:t>申报指引</w:t>
      </w:r>
    </w:p>
    <w:p w:rsidR="00E51CAE" w:rsidRDefault="00E51CAE" w:rsidP="00FB6E8C">
      <w:pPr>
        <w:pStyle w:val="cjk"/>
        <w:spacing w:after="0" w:afterAutospacing="0" w:line="400" w:lineRule="exact"/>
        <w:rPr>
          <w:sz w:val="21"/>
          <w:szCs w:val="21"/>
        </w:rPr>
      </w:pPr>
    </w:p>
    <w:p w:rsidR="00E51CAE" w:rsidRDefault="00E51CAE" w:rsidP="00FB6E8C">
      <w:pPr>
        <w:pStyle w:val="a3"/>
        <w:spacing w:after="227" w:afterAutospacing="0" w:line="400" w:lineRule="exact"/>
        <w:ind w:left="45" w:right="45" w:firstLine="573"/>
        <w:rPr>
          <w:sz w:val="21"/>
          <w:szCs w:val="21"/>
        </w:rPr>
      </w:pPr>
      <w:r>
        <w:rPr>
          <w:rFonts w:ascii="微软雅黑" w:eastAsia="微软雅黑" w:hAnsi="微软雅黑" w:hint="eastAsia"/>
          <w:color w:val="313131"/>
        </w:rPr>
        <w:t>根据《财政部 税务总局关于非营利组织免税资格认定管理有关问题的通知》（财税〔</w:t>
      </w:r>
      <w:r>
        <w:rPr>
          <w:rFonts w:ascii="微软雅黑" w:eastAsia="微软雅黑" w:hAnsi="微软雅黑" w:hint="eastAsia"/>
        </w:rPr>
        <w:t>2018〕13号）、《转发财政部 税务总局关于非营利组织免税资格认定管理有关问题的通知》</w:t>
      </w:r>
      <w:r w:rsidR="000063F0">
        <w:rPr>
          <w:rFonts w:ascii="微软雅黑" w:eastAsia="微软雅黑" w:hAnsi="微软雅黑" w:hint="eastAsia"/>
        </w:rPr>
        <w:t>（</w:t>
      </w:r>
      <w:proofErr w:type="gramStart"/>
      <w:r w:rsidR="000063F0">
        <w:rPr>
          <w:rFonts w:ascii="微软雅黑" w:eastAsia="微软雅黑" w:hAnsi="微软雅黑" w:hint="eastAsia"/>
        </w:rPr>
        <w:t>粤财法〔2018〕</w:t>
      </w:r>
      <w:proofErr w:type="gramEnd"/>
      <w:r w:rsidR="000063F0">
        <w:rPr>
          <w:rFonts w:ascii="微软雅黑" w:eastAsia="微软雅黑" w:hAnsi="微软雅黑" w:hint="eastAsia"/>
        </w:rPr>
        <w:t>8号）、《</w:t>
      </w:r>
      <w:r w:rsidR="000063F0" w:rsidRPr="000063F0">
        <w:rPr>
          <w:rFonts w:ascii="微软雅黑" w:eastAsia="微软雅黑" w:hAnsi="微软雅黑" w:hint="eastAsia"/>
        </w:rPr>
        <w:t>转发关于非营利组织免税资格认定管理有关问题的通知</w:t>
      </w:r>
      <w:r w:rsidR="000063F0">
        <w:rPr>
          <w:rFonts w:ascii="微软雅黑" w:eastAsia="微软雅黑" w:hAnsi="微软雅黑" w:hint="eastAsia"/>
        </w:rPr>
        <w:t>》（</w:t>
      </w:r>
      <w:proofErr w:type="gramStart"/>
      <w:r w:rsidR="000063F0">
        <w:rPr>
          <w:rFonts w:ascii="微软雅黑" w:eastAsia="微软雅黑" w:hAnsi="微软雅黑" w:hint="eastAsia"/>
        </w:rPr>
        <w:t>江财法</w:t>
      </w:r>
      <w:proofErr w:type="gramEnd"/>
      <w:r w:rsidR="000063F0">
        <w:rPr>
          <w:rFonts w:ascii="微软雅黑" w:eastAsia="微软雅黑" w:hAnsi="微软雅黑" w:hint="eastAsia"/>
        </w:rPr>
        <w:t>〔2018〕10号）</w:t>
      </w:r>
      <w:r>
        <w:rPr>
          <w:rFonts w:ascii="微软雅黑" w:eastAsia="微软雅黑" w:hAnsi="微软雅黑" w:hint="eastAsia"/>
        </w:rPr>
        <w:t>等有关规定，</w:t>
      </w:r>
      <w:r w:rsidR="000063F0">
        <w:rPr>
          <w:rFonts w:ascii="微软雅黑" w:eastAsia="微软雅黑" w:hAnsi="微软雅黑" w:hint="eastAsia"/>
        </w:rPr>
        <w:t>江门市新会区财政局（以下简称区财政局）、国家税务总局江门市新会区税务局（以下简称区税务局）</w:t>
      </w:r>
      <w:r>
        <w:rPr>
          <w:rFonts w:ascii="微软雅黑" w:eastAsia="微软雅黑" w:hAnsi="微软雅黑" w:hint="eastAsia"/>
        </w:rPr>
        <w:t>联合制定本申报指引。</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一、办理事项</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经</w:t>
      </w:r>
      <w:r w:rsidR="000063F0">
        <w:rPr>
          <w:rFonts w:ascii="微软雅黑" w:eastAsia="微软雅黑" w:hAnsi="微软雅黑" w:hint="eastAsia"/>
          <w:color w:val="313131"/>
        </w:rPr>
        <w:t>区</w:t>
      </w:r>
      <w:r>
        <w:rPr>
          <w:rFonts w:ascii="微软雅黑" w:eastAsia="微软雅黑" w:hAnsi="微软雅黑" w:hint="eastAsia"/>
          <w:color w:val="313131"/>
        </w:rPr>
        <w:t>级登记管理机关批准设立或登记的非营利组织免税资格认定。</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二、受理方式及时间</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经</w:t>
      </w:r>
      <w:r w:rsidR="000063F0">
        <w:rPr>
          <w:rFonts w:ascii="微软雅黑" w:eastAsia="微软雅黑" w:hAnsi="微软雅黑" w:hint="eastAsia"/>
          <w:color w:val="313131"/>
        </w:rPr>
        <w:t>区</w:t>
      </w:r>
      <w:r>
        <w:rPr>
          <w:rFonts w:ascii="微软雅黑" w:eastAsia="微软雅黑" w:hAnsi="微软雅黑" w:hint="eastAsia"/>
          <w:color w:val="313131"/>
        </w:rPr>
        <w:t>级登记管理机关批准设立或登记的（</w:t>
      </w:r>
      <w:proofErr w:type="gramStart"/>
      <w:r>
        <w:rPr>
          <w:rFonts w:ascii="微软雅黑" w:eastAsia="微软雅黑" w:hAnsi="微软雅黑" w:hint="eastAsia"/>
          <w:color w:val="313131"/>
        </w:rPr>
        <w:t>含经</w:t>
      </w:r>
      <w:r w:rsidR="000063F0">
        <w:rPr>
          <w:rFonts w:ascii="微软雅黑" w:eastAsia="微软雅黑" w:hAnsi="微软雅黑" w:hint="eastAsia"/>
          <w:color w:val="313131"/>
        </w:rPr>
        <w:t>区</w:t>
      </w:r>
      <w:proofErr w:type="gramEnd"/>
      <w:r>
        <w:rPr>
          <w:rFonts w:ascii="微软雅黑" w:eastAsia="微软雅黑" w:hAnsi="微软雅黑" w:hint="eastAsia"/>
          <w:color w:val="313131"/>
        </w:rPr>
        <w:t>编办登记管理的事业单位）非营利组织，其免税资格申请材料依照便利原则可直接递交</w:t>
      </w:r>
      <w:r w:rsidR="000063F0">
        <w:rPr>
          <w:rFonts w:ascii="微软雅黑" w:eastAsia="微软雅黑" w:hAnsi="微软雅黑" w:hint="eastAsia"/>
          <w:color w:val="313131"/>
        </w:rPr>
        <w:t>至</w:t>
      </w:r>
      <w:r w:rsidR="000063F0">
        <w:rPr>
          <w:rFonts w:ascii="微软雅黑" w:eastAsia="微软雅黑" w:hAnsi="微软雅黑" w:hint="eastAsia"/>
        </w:rPr>
        <w:t>区税务局</w:t>
      </w:r>
      <w:r>
        <w:rPr>
          <w:rFonts w:ascii="微软雅黑" w:eastAsia="微软雅黑" w:hAnsi="微软雅黑" w:hint="eastAsia"/>
          <w:color w:val="313131"/>
        </w:rPr>
        <w:t>，</w:t>
      </w:r>
      <w:r w:rsidR="000063F0">
        <w:rPr>
          <w:rFonts w:ascii="微软雅黑" w:eastAsia="微软雅黑" w:hAnsi="微软雅黑" w:hint="eastAsia"/>
          <w:color w:val="313131"/>
        </w:rPr>
        <w:t>由区税务局负责接收免税资格申请材料，并由区财政局、区税务局</w:t>
      </w:r>
      <w:r>
        <w:rPr>
          <w:rFonts w:ascii="微软雅黑" w:eastAsia="微软雅黑" w:hAnsi="微软雅黑" w:hint="eastAsia"/>
          <w:color w:val="313131"/>
        </w:rPr>
        <w:t>联合审核认定。</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w:t>
      </w:r>
      <w:r w:rsidR="007002D4">
        <w:rPr>
          <w:rFonts w:ascii="微软雅黑" w:eastAsia="微软雅黑" w:hAnsi="微软雅黑" w:hint="eastAsia"/>
          <w:color w:val="313131"/>
        </w:rPr>
        <w:t>区</w:t>
      </w:r>
      <w:r>
        <w:rPr>
          <w:rFonts w:ascii="微软雅黑" w:eastAsia="微软雅黑" w:hAnsi="微软雅黑" w:hint="eastAsia"/>
          <w:color w:val="313131"/>
        </w:rPr>
        <w:t>级非营利组织免税资格申请受理时间为每年</w:t>
      </w:r>
      <w:r>
        <w:rPr>
          <w:rFonts w:ascii="微软雅黑" w:eastAsia="微软雅黑" w:hAnsi="微软雅黑" w:hint="eastAsia"/>
        </w:rPr>
        <w:t>3月1日至31日（2018年延迟至</w:t>
      </w:r>
      <w:r w:rsidR="007002D4">
        <w:rPr>
          <w:rFonts w:ascii="微软雅黑" w:eastAsia="微软雅黑" w:hAnsi="微软雅黑" w:hint="eastAsia"/>
        </w:rPr>
        <w:t>9</w:t>
      </w:r>
      <w:r>
        <w:rPr>
          <w:rFonts w:ascii="微软雅黑" w:eastAsia="微软雅黑" w:hAnsi="微软雅黑" w:hint="eastAsia"/>
        </w:rPr>
        <w:t>月30日）。</w:t>
      </w:r>
      <w:r w:rsidR="007002D4">
        <w:rPr>
          <w:rFonts w:ascii="微软雅黑" w:eastAsia="微软雅黑" w:hAnsi="微软雅黑" w:hint="eastAsia"/>
        </w:rPr>
        <w:t>区</w:t>
      </w:r>
      <w:r>
        <w:rPr>
          <w:rFonts w:ascii="微软雅黑" w:eastAsia="微软雅黑" w:hAnsi="微软雅黑" w:hint="eastAsia"/>
        </w:rPr>
        <w:t>级非营利组织免税资格期满申请复审的或当年新成立的，受理时间为期满后或成立后次年的3月1日至31日。逾期的需到下一年度再进行申请。</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三、政策依据</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非营利组织免税资格规定及资格认定的规定如下：</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（一）《财政部 国家税务总局关于非营利组织企业所得税免税收入问题的通知》（财税〔</w:t>
      </w:r>
      <w:r>
        <w:rPr>
          <w:rFonts w:ascii="微软雅黑" w:eastAsia="微软雅黑" w:hAnsi="微软雅黑" w:hint="eastAsia"/>
        </w:rPr>
        <w:t>2009〕122号）</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（二）《财政部 税务总局关于非营利组织免税资格认定管理有关问题的通知》（财税〔</w:t>
      </w:r>
      <w:r>
        <w:rPr>
          <w:rFonts w:ascii="微软雅黑" w:eastAsia="微软雅黑" w:hAnsi="微软雅黑" w:hint="eastAsia"/>
        </w:rPr>
        <w:t>2018〕13号）</w:t>
      </w:r>
    </w:p>
    <w:p w:rsidR="00E51CAE" w:rsidRDefault="00E51CAE" w:rsidP="00FB6E8C">
      <w:pPr>
        <w:pStyle w:val="a3"/>
        <w:spacing w:after="227" w:afterAutospacing="0" w:line="400" w:lineRule="exact"/>
        <w:ind w:left="45" w:right="45" w:firstLine="448"/>
        <w:rPr>
          <w:sz w:val="21"/>
          <w:szCs w:val="21"/>
        </w:rPr>
      </w:pPr>
      <w:r>
        <w:rPr>
          <w:rFonts w:ascii="微软雅黑" w:eastAsia="微软雅黑" w:hAnsi="微软雅黑" w:hint="eastAsia"/>
          <w:color w:val="313131"/>
        </w:rPr>
        <w:lastRenderedPageBreak/>
        <w:t>（三）省财政厅、省国家税务局、省地方税务局《转发财政部 税务总局关于非营利组织免税资格认定管理有关问题的通知》（</w:t>
      </w:r>
      <w:proofErr w:type="gramStart"/>
      <w:r>
        <w:rPr>
          <w:rFonts w:ascii="微软雅黑" w:eastAsia="微软雅黑" w:hAnsi="微软雅黑" w:hint="eastAsia"/>
          <w:color w:val="313131"/>
        </w:rPr>
        <w:t>粤财法〔</w:t>
      </w:r>
      <w:r>
        <w:rPr>
          <w:rFonts w:ascii="微软雅黑" w:eastAsia="微软雅黑" w:hAnsi="微软雅黑" w:hint="eastAsia"/>
        </w:rPr>
        <w:t>2018〕</w:t>
      </w:r>
      <w:proofErr w:type="gramEnd"/>
      <w:r>
        <w:rPr>
          <w:rFonts w:ascii="微软雅黑" w:eastAsia="微软雅黑" w:hAnsi="微软雅黑" w:hint="eastAsia"/>
        </w:rPr>
        <w:t>8号）</w:t>
      </w:r>
    </w:p>
    <w:p w:rsidR="00E51CAE" w:rsidRDefault="00E51CAE" w:rsidP="00FB6E8C">
      <w:pPr>
        <w:pStyle w:val="a3"/>
        <w:spacing w:after="227" w:afterAutospacing="0" w:line="400" w:lineRule="exact"/>
        <w:ind w:left="45" w:right="45" w:firstLine="448"/>
        <w:rPr>
          <w:rFonts w:ascii="微软雅黑" w:eastAsia="微软雅黑" w:hAnsi="微软雅黑"/>
        </w:rPr>
      </w:pPr>
      <w:r>
        <w:rPr>
          <w:rFonts w:ascii="微软雅黑" w:eastAsia="微软雅黑" w:hAnsi="微软雅黑" w:hint="eastAsia"/>
          <w:color w:val="313131"/>
        </w:rPr>
        <w:t>（四）市财政局、市国税局、市地税局《转发关于非营利组织免税资格认定管理有关问题的通知》（江财法〔</w:t>
      </w:r>
      <w:r>
        <w:rPr>
          <w:rFonts w:ascii="微软雅黑" w:eastAsia="微软雅黑" w:hAnsi="微软雅黑" w:hint="eastAsia"/>
        </w:rPr>
        <w:t>2018〕10号）</w:t>
      </w:r>
    </w:p>
    <w:p w:rsidR="007002D4" w:rsidRPr="007002D4" w:rsidRDefault="007002D4" w:rsidP="007002D4">
      <w:pPr>
        <w:pStyle w:val="a3"/>
        <w:spacing w:after="227" w:afterAutospacing="0" w:line="400" w:lineRule="exact"/>
        <w:ind w:left="45" w:right="45" w:firstLine="448"/>
        <w:rPr>
          <w:rFonts w:ascii="微软雅黑" w:eastAsia="微软雅黑" w:hAnsi="微软雅黑"/>
        </w:rPr>
      </w:pPr>
      <w:r>
        <w:rPr>
          <w:rFonts w:ascii="微软雅黑" w:eastAsia="微软雅黑" w:hAnsi="微软雅黑" w:hint="eastAsia"/>
          <w:color w:val="313131"/>
        </w:rPr>
        <w:t>（五）区财政局、区国税局、区地税局《转发关于非营利组织免税资格认定管理有关问题的通知》（</w:t>
      </w:r>
      <w:proofErr w:type="gramStart"/>
      <w:r>
        <w:rPr>
          <w:rFonts w:ascii="微软雅黑" w:eastAsia="微软雅黑" w:hAnsi="微软雅黑" w:hint="eastAsia"/>
          <w:color w:val="313131"/>
        </w:rPr>
        <w:t>新财法〔</w:t>
      </w:r>
      <w:r>
        <w:rPr>
          <w:rFonts w:ascii="微软雅黑" w:eastAsia="微软雅黑" w:hAnsi="微软雅黑" w:hint="eastAsia"/>
        </w:rPr>
        <w:t>2018〕</w:t>
      </w:r>
      <w:proofErr w:type="gramEnd"/>
      <w:r>
        <w:rPr>
          <w:rFonts w:ascii="微软雅黑" w:eastAsia="微软雅黑" w:hAnsi="微软雅黑" w:hint="eastAsia"/>
        </w:rPr>
        <w:t>6号）</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w:t>
      </w:r>
      <w:r>
        <w:rPr>
          <w:rStyle w:val="a4"/>
          <w:rFonts w:ascii="微软雅黑" w:eastAsia="微软雅黑" w:hAnsi="微软雅黑" w:hint="eastAsia"/>
          <w:color w:val="000000"/>
        </w:rPr>
        <w:t>四、经认定的非营利组织免税规定</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符合条件的非营利组织经认定后，其取得的</w:t>
      </w:r>
      <w:r w:rsidR="006C1ABA">
        <w:rPr>
          <w:rFonts w:ascii="微软雅黑" w:eastAsia="微软雅黑" w:hAnsi="微软雅黑" w:hint="eastAsia"/>
          <w:color w:val="313131"/>
        </w:rPr>
        <w:t>下列</w:t>
      </w:r>
      <w:r>
        <w:rPr>
          <w:rFonts w:ascii="微软雅黑" w:eastAsia="微软雅黑" w:hAnsi="微软雅黑" w:hint="eastAsia"/>
          <w:color w:val="313131"/>
        </w:rPr>
        <w:t>收入免征企业所得税：</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（一）接受其他单位或个人捐赠的收入</w:t>
      </w:r>
      <w:r>
        <w:rPr>
          <w:rFonts w:ascii="微软雅黑" w:eastAsia="微软雅黑" w:hAnsi="微软雅黑" w:hint="eastAsia"/>
        </w:rPr>
        <w:t>;</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（二）除《中华人民共和国企业所得税法》第七条规定的财政拨款以外的其他政府补助收入，但不包括因政府购买服务</w:t>
      </w:r>
      <w:bookmarkStart w:id="0" w:name="_GoBack"/>
      <w:bookmarkEnd w:id="0"/>
      <w:r>
        <w:rPr>
          <w:rFonts w:ascii="微软雅黑" w:eastAsia="微软雅黑" w:hAnsi="微软雅黑" w:hint="eastAsia"/>
          <w:color w:val="313131"/>
        </w:rPr>
        <w:t>的收入</w:t>
      </w:r>
      <w:r>
        <w:rPr>
          <w:rFonts w:ascii="微软雅黑" w:eastAsia="微软雅黑" w:hAnsi="微软雅黑" w:hint="eastAsia"/>
        </w:rPr>
        <w:t>;</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（三）按照省级以上民政、财政部门规定收取的会费</w:t>
      </w:r>
      <w:r>
        <w:rPr>
          <w:rFonts w:ascii="微软雅黑" w:eastAsia="微软雅黑" w:hAnsi="微软雅黑" w:hint="eastAsia"/>
        </w:rPr>
        <w:t>;</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（四）不征税收入和免税收入孳生的银行存款利息收入</w:t>
      </w:r>
      <w:r>
        <w:rPr>
          <w:rFonts w:ascii="微软雅黑" w:eastAsia="微软雅黑" w:hAnsi="微软雅黑" w:hint="eastAsia"/>
        </w:rPr>
        <w:t>;</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（五）财政部、国家税务总局规定的其他收入。</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五、申请条件</w:t>
      </w:r>
      <w:r>
        <w:rPr>
          <w:rStyle w:val="a4"/>
          <w:rFonts w:ascii="Times New Roman" w:hAnsi="Times New Roman" w:cs="Times New Roman"/>
        </w:rPr>
        <w:t>(</w:t>
      </w:r>
      <w:r>
        <w:rPr>
          <w:rStyle w:val="a4"/>
          <w:rFonts w:ascii="微软雅黑" w:eastAsia="微软雅黑" w:hAnsi="微软雅黑" w:hint="eastAsia"/>
        </w:rPr>
        <w:t>须同时满足</w:t>
      </w:r>
      <w:r>
        <w:rPr>
          <w:rStyle w:val="a4"/>
          <w:rFonts w:ascii="Times New Roman" w:hAnsi="Times New Roman" w:cs="Times New Roman"/>
        </w:rPr>
        <w:t>)</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（一）依照国家有关法律法规设立或登记的事业单位、社会团体、基金会、社会服务机构、宗教活动场所、宗教院校以及财政部、税务总局认定的其他非营利组织；</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（二）从事公益性或者非营利性活动；</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（三）取得的收入除用于与该组织有关的、合理的支出外，全部用于登记核定或者章程规定的公益性或者非营利性事业；</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（四）财产及其</w:t>
      </w:r>
      <w:proofErr w:type="gramStart"/>
      <w:r>
        <w:rPr>
          <w:rFonts w:ascii="微软雅黑" w:eastAsia="微软雅黑" w:hAnsi="微软雅黑" w:hint="eastAsia"/>
          <w:color w:val="313131"/>
        </w:rPr>
        <w:t>孳息不</w:t>
      </w:r>
      <w:proofErr w:type="gramEnd"/>
      <w:r>
        <w:rPr>
          <w:rFonts w:ascii="微软雅黑" w:eastAsia="微软雅黑" w:hAnsi="微软雅黑" w:hint="eastAsia"/>
          <w:color w:val="313131"/>
        </w:rPr>
        <w:t>用于分配，但不包括合理的工资薪金支出；</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lastRenderedPageBreak/>
        <w:t xml:space="preserve">　　（五）按照登记核定或者章程规定，该组织注销后的剩余财产用于公益性或者非营利性目的，或者由登记管理机关采取转赠给与该组织性质、宗旨相同的组织等处置方式，并向社会公告；</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（六）投入人对投入该组织的财产不保留或者享有任何财产权利，本款所称投入人是指除各级人民政府及其部门外的法人、自然人和其他组织；</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（七）工作人员工资福利开支控制在规定的比例内，</w:t>
      </w:r>
      <w:proofErr w:type="gramStart"/>
      <w:r>
        <w:rPr>
          <w:rFonts w:ascii="微软雅黑" w:eastAsia="微软雅黑" w:hAnsi="微软雅黑" w:hint="eastAsia"/>
          <w:color w:val="313131"/>
        </w:rPr>
        <w:t>不</w:t>
      </w:r>
      <w:proofErr w:type="gramEnd"/>
      <w:r>
        <w:rPr>
          <w:rFonts w:ascii="微软雅黑" w:eastAsia="微软雅黑" w:hAnsi="微软雅黑" w:hint="eastAsia"/>
          <w:color w:val="313131"/>
        </w:rPr>
        <w:t>变相分配该组织的财产，其中：工作人员平均工资薪金水平不得超过税务登记所在地的地市级</w:t>
      </w:r>
      <w:r>
        <w:rPr>
          <w:rFonts w:ascii="微软雅黑" w:eastAsia="微软雅黑" w:hAnsi="微软雅黑" w:hint="eastAsia"/>
        </w:rPr>
        <w:t>(含地市级)以上地区的同行业同类组织平均工资水平的两倍，工作人员福利按照国家有关规定执行；</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（八）对取得的应纳税收入及其有关的成本、费用、损失应与免税收入及其有关的成本、费用、损失分别核算。</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六、报送材料</w:t>
      </w:r>
      <w:r>
        <w:rPr>
          <w:rFonts w:ascii="微软雅黑" w:eastAsia="微软雅黑" w:hAnsi="微软雅黑" w:hint="eastAsia"/>
          <w:color w:val="313131"/>
        </w:rPr>
        <w:t>(</w:t>
      </w:r>
      <w:r>
        <w:rPr>
          <w:rFonts w:ascii="微软雅黑" w:eastAsia="微软雅黑" w:hAnsi="微软雅黑" w:hint="eastAsia"/>
        </w:rPr>
        <w:t>申请表一式三份，其余材料一式</w:t>
      </w:r>
      <w:r w:rsidR="007002D4">
        <w:rPr>
          <w:rFonts w:ascii="微软雅黑" w:eastAsia="微软雅黑" w:hAnsi="微软雅黑" w:hint="eastAsia"/>
        </w:rPr>
        <w:t>两</w:t>
      </w:r>
      <w:r>
        <w:rPr>
          <w:rFonts w:ascii="微软雅黑" w:eastAsia="微软雅黑" w:hAnsi="微软雅黑" w:hint="eastAsia"/>
        </w:rPr>
        <w:t>份)</w:t>
      </w:r>
    </w:p>
    <w:p w:rsidR="00E51CAE" w:rsidRDefault="00E51CAE" w:rsidP="00FB6E8C">
      <w:pPr>
        <w:pStyle w:val="a3"/>
        <w:spacing w:after="0" w:afterAutospacing="0" w:line="400" w:lineRule="exact"/>
        <w:ind w:left="45" w:right="45"/>
        <w:rPr>
          <w:sz w:val="21"/>
          <w:szCs w:val="21"/>
        </w:rPr>
      </w:pPr>
      <w:r>
        <w:rPr>
          <w:rFonts w:ascii="微软雅黑" w:eastAsia="微软雅黑" w:hAnsi="微软雅黑" w:hint="eastAsia"/>
          <w:color w:val="313131"/>
        </w:rPr>
        <w:t xml:space="preserve">　　（一）申请报告、申请表（见附件）；</w:t>
      </w:r>
    </w:p>
    <w:p w:rsidR="00E51CAE" w:rsidRDefault="00E51CAE" w:rsidP="00FB6E8C">
      <w:pPr>
        <w:pStyle w:val="a3"/>
        <w:spacing w:after="0" w:afterAutospacing="0" w:line="400" w:lineRule="exact"/>
        <w:ind w:left="45" w:right="45"/>
        <w:rPr>
          <w:sz w:val="21"/>
          <w:szCs w:val="21"/>
        </w:rPr>
      </w:pPr>
      <w:r>
        <w:rPr>
          <w:rFonts w:ascii="微软雅黑" w:eastAsia="微软雅黑" w:hAnsi="微软雅黑" w:hint="eastAsia"/>
          <w:color w:val="313131"/>
        </w:rPr>
        <w:t xml:space="preserve">　　（二）经登记管理部门核准的事业单位、社会团体、基金会、社会服务机构的组织章程或宗教活动场所、宗教院校的管理制度</w:t>
      </w:r>
      <w:r>
        <w:rPr>
          <w:rFonts w:ascii="微软雅黑" w:eastAsia="微软雅黑" w:hAnsi="微软雅黑" w:hint="eastAsia"/>
        </w:rPr>
        <w:t>(组织章程或管理制度骑缝盖有登记管理部门的章程核准章)复印件</w:t>
      </w:r>
      <w:r>
        <w:rPr>
          <w:rStyle w:val="a4"/>
          <w:rFonts w:ascii="微软雅黑" w:eastAsia="微软雅黑" w:hAnsi="微软雅黑" w:hint="eastAsia"/>
          <w:color w:val="313131"/>
        </w:rPr>
        <w:t>；（注：经登记核准的章程规定中必须有申请条件的第五条的相关内容）</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（三）非营利组织注册登记证件的复印件</w:t>
      </w:r>
      <w:r>
        <w:rPr>
          <w:rFonts w:ascii="微软雅黑" w:eastAsia="微软雅黑" w:hAnsi="微软雅黑" w:hint="eastAsia"/>
        </w:rPr>
        <w:t>(正反面)；</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（四）上一年度的资金来源及使用情况、公益活动和非营利活动的明细情况（例如：申请</w:t>
      </w:r>
      <w:r>
        <w:rPr>
          <w:rFonts w:ascii="微软雅黑" w:eastAsia="微软雅黑" w:hAnsi="微软雅黑" w:hint="eastAsia"/>
        </w:rPr>
        <w:t>2018-2022年度免税资格的提供2017年的情况）；</w:t>
      </w:r>
    </w:p>
    <w:p w:rsidR="00C7544D" w:rsidRDefault="00E51CAE" w:rsidP="007002D4">
      <w:pPr>
        <w:pStyle w:val="a3"/>
        <w:spacing w:after="0" w:afterAutospacing="0" w:line="400" w:lineRule="exact"/>
        <w:ind w:left="45" w:right="45" w:firstLine="480"/>
        <w:rPr>
          <w:rStyle w:val="a4"/>
          <w:rFonts w:ascii="微软雅黑" w:eastAsia="微软雅黑" w:hAnsi="微软雅黑"/>
          <w:b w:val="0"/>
        </w:rPr>
      </w:pPr>
      <w:r>
        <w:rPr>
          <w:rStyle w:val="a4"/>
          <w:rFonts w:ascii="微软雅黑" w:eastAsia="微软雅黑" w:hAnsi="微软雅黑" w:hint="eastAsia"/>
          <w:color w:val="313131"/>
        </w:rPr>
        <w:t>公益性活动</w:t>
      </w:r>
      <w:r w:rsidRPr="007002D4">
        <w:rPr>
          <w:rStyle w:val="a4"/>
          <w:rFonts w:ascii="微软雅黑" w:eastAsia="微软雅黑" w:hAnsi="微软雅黑" w:hint="eastAsia"/>
          <w:b w:val="0"/>
          <w:color w:val="313131"/>
        </w:rPr>
        <w:t>是指《慈善法》第三条规定的下列活动：扶贫、济困</w:t>
      </w:r>
      <w:r w:rsidRPr="007002D4">
        <w:rPr>
          <w:rStyle w:val="a4"/>
          <w:rFonts w:ascii="Times New Roman" w:hAnsi="Times New Roman" w:cs="Times New Roman"/>
          <w:b w:val="0"/>
        </w:rPr>
        <w:t>;</w:t>
      </w:r>
      <w:r w:rsidRPr="007002D4">
        <w:rPr>
          <w:rStyle w:val="a4"/>
          <w:rFonts w:ascii="微软雅黑" w:eastAsia="微软雅黑" w:hAnsi="微软雅黑" w:hint="eastAsia"/>
          <w:b w:val="0"/>
        </w:rPr>
        <w:t>扶老、救孤、恤病、助残、优抚</w:t>
      </w:r>
      <w:r w:rsidRPr="007002D4">
        <w:rPr>
          <w:rStyle w:val="a4"/>
          <w:rFonts w:ascii="Times New Roman" w:hAnsi="Times New Roman" w:cs="Times New Roman"/>
          <w:b w:val="0"/>
        </w:rPr>
        <w:t>;</w:t>
      </w:r>
      <w:r w:rsidRPr="007002D4">
        <w:rPr>
          <w:rStyle w:val="a4"/>
          <w:rFonts w:ascii="微软雅黑" w:eastAsia="微软雅黑" w:hAnsi="微软雅黑" w:hint="eastAsia"/>
          <w:b w:val="0"/>
        </w:rPr>
        <w:t>救助自然灾害、事故灾难和公共卫生事件等突发事件造成的损害；促进教育、科学、文化、卫生、体育等事业的发展；防治污染和其他公害，保护和</w:t>
      </w:r>
      <w:r w:rsidR="007002D4" w:rsidRPr="007002D4">
        <w:rPr>
          <w:rStyle w:val="a4"/>
          <w:rFonts w:ascii="微软雅黑" w:eastAsia="微软雅黑" w:hAnsi="微软雅黑" w:hint="eastAsia"/>
          <w:b w:val="0"/>
        </w:rPr>
        <w:t>改善生态环境等。</w:t>
      </w:r>
    </w:p>
    <w:p w:rsidR="007002D4" w:rsidRPr="007002D4" w:rsidRDefault="007002D4" w:rsidP="007002D4">
      <w:pPr>
        <w:pStyle w:val="a3"/>
        <w:spacing w:after="0" w:afterAutospacing="0" w:line="400" w:lineRule="exact"/>
        <w:ind w:left="45" w:right="45" w:firstLine="480"/>
        <w:rPr>
          <w:b/>
          <w:sz w:val="21"/>
          <w:szCs w:val="21"/>
        </w:rPr>
      </w:pPr>
      <w:r>
        <w:rPr>
          <w:rStyle w:val="a4"/>
          <w:rFonts w:ascii="微软雅黑" w:eastAsia="微软雅黑" w:hAnsi="微软雅黑" w:hint="eastAsia"/>
          <w:color w:val="313131"/>
        </w:rPr>
        <w:t>非营利性活动</w:t>
      </w:r>
      <w:r w:rsidRPr="007002D4">
        <w:rPr>
          <w:rStyle w:val="a4"/>
          <w:rFonts w:ascii="微软雅黑" w:eastAsia="微软雅黑" w:hAnsi="微软雅黑" w:hint="eastAsia"/>
          <w:b w:val="0"/>
          <w:color w:val="313131"/>
        </w:rPr>
        <w:t>是指非营利组织登记核定或者章程规定的非营利性活动。</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lastRenderedPageBreak/>
        <w:t xml:space="preserve">　　（五）上一年度的工资薪金情况专项报告，包括薪酬制度、工作人员整体平均工资薪金水平、工资福利占总支出比例、重要人员工资薪金信息（至少包括工资薪金水平排名前</w:t>
      </w:r>
      <w:r>
        <w:rPr>
          <w:rFonts w:ascii="微软雅黑" w:eastAsia="微软雅黑" w:hAnsi="微软雅黑" w:hint="eastAsia"/>
        </w:rPr>
        <w:t>10的人员）；</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（六）具有资质的中介机构</w:t>
      </w:r>
      <w:proofErr w:type="gramStart"/>
      <w:r>
        <w:rPr>
          <w:rFonts w:ascii="微软雅黑" w:eastAsia="微软雅黑" w:hAnsi="微软雅黑" w:hint="eastAsia"/>
          <w:color w:val="313131"/>
        </w:rPr>
        <w:t>鉴证</w:t>
      </w:r>
      <w:proofErr w:type="gramEnd"/>
      <w:r>
        <w:rPr>
          <w:rFonts w:ascii="微软雅黑" w:eastAsia="微软雅黑" w:hAnsi="微软雅黑" w:hint="eastAsia"/>
          <w:color w:val="313131"/>
        </w:rPr>
        <w:t>的上一年度财务报表和审计报告</w:t>
      </w:r>
      <w:r w:rsidR="008A53D2">
        <w:rPr>
          <w:rFonts w:ascii="微软雅黑" w:eastAsia="微软雅黑" w:hAnsi="微软雅黑" w:hint="eastAsia"/>
          <w:color w:val="313131"/>
        </w:rPr>
        <w:t>，内容应包含非营利组织取得的应纳税收入与免税收入及其有关的成本、费用、损失分别核算的情况以及工作人员平均工资薪金水平的计算情况。（审计报告最后需附有中介机构执业证书复印件和审计人的注册会计师资格证影印件，注册会计师资格证的所在单位必须是出具审计报告的中介机构）。</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（七）登记管理机关出具的事业单位、社会团体、基金会、社会服务机构、宗教活动场所、宗教院校上一年度符合相关法律法规和国家政策的事业发展情况或非营利活动的材料；</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（八）财政、税务部门要求提供的其他材料。</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当年新设立或登记的非营利组织需提供本条第（一）项至第（三）项规定的材料及本条第（四）项、第（五）项规定的申请当年的材料，不需提供本条第（六）项、第（七）项规定的材料。</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所有申请材料均需加盖单位公章（</w:t>
      </w:r>
      <w:r w:rsidRPr="008A53D2">
        <w:rPr>
          <w:rFonts w:ascii="微软雅黑" w:eastAsia="微软雅黑" w:hAnsi="微软雅黑" w:hint="eastAsia"/>
          <w:b/>
          <w:color w:val="313131"/>
        </w:rPr>
        <w:t>法人登记证书、章程、年检报告</w:t>
      </w:r>
      <w:r w:rsidR="008A53D2" w:rsidRPr="008A53D2">
        <w:rPr>
          <w:rFonts w:ascii="微软雅黑" w:eastAsia="微软雅黑" w:hAnsi="微软雅黑" w:hint="eastAsia"/>
          <w:b/>
          <w:color w:val="313131"/>
        </w:rPr>
        <w:t>、审计报告</w:t>
      </w:r>
      <w:r w:rsidRPr="008A53D2">
        <w:rPr>
          <w:rFonts w:ascii="微软雅黑" w:eastAsia="微软雅黑" w:hAnsi="微软雅黑" w:hint="eastAsia"/>
          <w:b/>
          <w:color w:val="313131"/>
        </w:rPr>
        <w:t>需交验原件</w:t>
      </w:r>
      <w:r>
        <w:rPr>
          <w:rFonts w:ascii="微软雅黑" w:eastAsia="微软雅黑" w:hAnsi="微软雅黑" w:hint="eastAsia"/>
        </w:rPr>
        <w:t>)。</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七、其他事项</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（一）非营利组织免税优惠资格的有效期为五年。非营利组织应在免税资格期满后次年的</w:t>
      </w:r>
      <w:r>
        <w:rPr>
          <w:rFonts w:ascii="微软雅黑" w:eastAsia="微软雅黑" w:hAnsi="微软雅黑" w:hint="eastAsia"/>
        </w:rPr>
        <w:t>3月1日至31日申请复审，不提出复审申请或复审不合格的，其享受免税优惠的资格到期自动失效。</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非营利组织免税资格复审，按照初次申请免税优惠资格的规定办理。</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（二）非营利组织免税的法律责任以及取消免税资格的规定按财税〔</w:t>
      </w:r>
      <w:r>
        <w:rPr>
          <w:rFonts w:ascii="微软雅黑" w:eastAsia="微软雅黑" w:hAnsi="微软雅黑" w:hint="eastAsia"/>
        </w:rPr>
        <w:t>2018〕13号文第五、六项执行，请有关非营利组织知悉和遵守有关规定。</w:t>
      </w:r>
    </w:p>
    <w:p w:rsidR="00E51CAE" w:rsidRDefault="00E51CAE" w:rsidP="00FB6E8C">
      <w:pPr>
        <w:pStyle w:val="a3"/>
        <w:spacing w:after="0" w:afterAutospacing="0" w:line="400" w:lineRule="exact"/>
        <w:ind w:left="45" w:right="45"/>
        <w:rPr>
          <w:sz w:val="21"/>
          <w:szCs w:val="21"/>
        </w:rPr>
      </w:pPr>
      <w:r>
        <w:rPr>
          <w:rStyle w:val="a4"/>
          <w:rFonts w:ascii="微软雅黑" w:eastAsia="微软雅黑" w:hAnsi="微软雅黑" w:hint="eastAsia"/>
          <w:color w:val="313131"/>
        </w:rPr>
        <w:t xml:space="preserve">　　八、联系方式</w:t>
      </w:r>
    </w:p>
    <w:p w:rsidR="00E51CAE" w:rsidRDefault="008A53D2" w:rsidP="00FB6E8C">
      <w:pPr>
        <w:pStyle w:val="a3"/>
        <w:spacing w:after="227" w:afterAutospacing="0" w:line="400" w:lineRule="exact"/>
        <w:ind w:left="45" w:right="45" w:firstLine="465"/>
        <w:rPr>
          <w:sz w:val="21"/>
          <w:szCs w:val="21"/>
        </w:rPr>
      </w:pPr>
      <w:r>
        <w:rPr>
          <w:rFonts w:ascii="微软雅黑" w:eastAsia="微软雅黑" w:hAnsi="微软雅黑" w:hint="eastAsia"/>
          <w:color w:val="313131"/>
        </w:rPr>
        <w:t>区</w:t>
      </w:r>
      <w:r w:rsidR="00E51CAE">
        <w:rPr>
          <w:rFonts w:ascii="微软雅黑" w:eastAsia="微软雅黑" w:hAnsi="微软雅黑" w:hint="eastAsia"/>
          <w:color w:val="313131"/>
        </w:rPr>
        <w:t xml:space="preserve">财政局： </w:t>
      </w:r>
      <w:r>
        <w:rPr>
          <w:rFonts w:ascii="微软雅黑" w:eastAsia="微软雅黑" w:hAnsi="微软雅黑" w:hint="eastAsia"/>
          <w:color w:val="313131"/>
        </w:rPr>
        <w:t>监督检查办公室（蓝小姐，</w:t>
      </w:r>
      <w:r w:rsidR="00E51CAE">
        <w:rPr>
          <w:rFonts w:ascii="微软雅黑" w:eastAsia="微软雅黑" w:hAnsi="微软雅黑" w:hint="eastAsia"/>
        </w:rPr>
        <w:t>0750-</w:t>
      </w:r>
      <w:r>
        <w:rPr>
          <w:rFonts w:ascii="微软雅黑" w:eastAsia="微软雅黑" w:hAnsi="微软雅黑" w:hint="eastAsia"/>
        </w:rPr>
        <w:t>6626172）</w:t>
      </w:r>
    </w:p>
    <w:p w:rsidR="00C7544D" w:rsidRDefault="008A53D2" w:rsidP="00FB6E8C">
      <w:pPr>
        <w:pStyle w:val="a3"/>
        <w:spacing w:after="227" w:afterAutospacing="0" w:line="400" w:lineRule="exact"/>
        <w:ind w:left="45" w:right="45" w:firstLine="465"/>
        <w:rPr>
          <w:rFonts w:ascii="微软雅黑" w:eastAsia="微软雅黑" w:hAnsi="微软雅黑"/>
          <w:color w:val="313131"/>
        </w:rPr>
      </w:pPr>
      <w:r>
        <w:rPr>
          <w:rFonts w:ascii="微软雅黑" w:eastAsia="微软雅黑" w:hAnsi="微软雅黑" w:hint="eastAsia"/>
          <w:color w:val="313131"/>
        </w:rPr>
        <w:lastRenderedPageBreak/>
        <w:t xml:space="preserve">区税务局：政策法规股 </w:t>
      </w:r>
      <w:r w:rsidR="00196D63">
        <w:rPr>
          <w:rFonts w:ascii="微软雅黑" w:eastAsia="微软雅黑" w:hAnsi="微软雅黑" w:hint="eastAsia"/>
          <w:color w:val="313131"/>
        </w:rPr>
        <w:t>（李小姐</w:t>
      </w:r>
      <w:r w:rsidR="0064191D">
        <w:rPr>
          <w:rFonts w:ascii="微软雅黑" w:eastAsia="微软雅黑" w:hAnsi="微软雅黑" w:hint="eastAsia"/>
          <w:color w:val="313131"/>
        </w:rPr>
        <w:t>，6360822</w:t>
      </w:r>
      <w:r w:rsidR="00C7544D">
        <w:rPr>
          <w:rFonts w:ascii="微软雅黑" w:eastAsia="微软雅黑" w:hAnsi="微软雅黑" w:hint="eastAsia"/>
          <w:color w:val="313131"/>
        </w:rPr>
        <w:t>）</w:t>
      </w:r>
    </w:p>
    <w:p w:rsidR="00E51CAE" w:rsidRDefault="00C7544D" w:rsidP="00C7544D">
      <w:pPr>
        <w:pStyle w:val="a3"/>
        <w:spacing w:after="227" w:afterAutospacing="0" w:line="400" w:lineRule="exact"/>
        <w:ind w:left="45" w:right="45" w:firstLineChars="700" w:firstLine="1680"/>
        <w:rPr>
          <w:sz w:val="21"/>
          <w:szCs w:val="21"/>
        </w:rPr>
      </w:pPr>
      <w:r>
        <w:rPr>
          <w:rFonts w:ascii="微软雅黑" w:eastAsia="微软雅黑" w:hAnsi="微软雅黑" w:hint="eastAsia"/>
          <w:color w:val="313131"/>
        </w:rPr>
        <w:t>税政股（</w:t>
      </w:r>
      <w:r w:rsidR="00196D63">
        <w:rPr>
          <w:rFonts w:ascii="微软雅黑" w:eastAsia="微软雅黑" w:hAnsi="微软雅黑" w:hint="eastAsia"/>
          <w:color w:val="313131"/>
        </w:rPr>
        <w:t>尹小姐</w:t>
      </w:r>
      <w:r w:rsidR="0002724B">
        <w:rPr>
          <w:rFonts w:ascii="微软雅黑" w:eastAsia="微软雅黑" w:hAnsi="微软雅黑" w:hint="eastAsia"/>
          <w:color w:val="313131"/>
        </w:rPr>
        <w:t>，</w:t>
      </w:r>
      <w:r w:rsidR="0064191D">
        <w:rPr>
          <w:rFonts w:ascii="微软雅黑" w:eastAsia="微软雅黑" w:hAnsi="微软雅黑" w:hint="eastAsia"/>
          <w:color w:val="313131"/>
        </w:rPr>
        <w:t>6361833</w:t>
      </w:r>
      <w:r w:rsidR="00196D63">
        <w:rPr>
          <w:rFonts w:ascii="微软雅黑" w:eastAsia="微软雅黑" w:hAnsi="微软雅黑" w:hint="eastAsia"/>
          <w:color w:val="313131"/>
        </w:rPr>
        <w:t>）</w:t>
      </w:r>
    </w:p>
    <w:p w:rsidR="00E51CAE" w:rsidRDefault="00E51CAE" w:rsidP="00FB6E8C">
      <w:pPr>
        <w:pStyle w:val="a3"/>
        <w:spacing w:after="227" w:afterAutospacing="0" w:line="400" w:lineRule="exact"/>
        <w:ind w:left="45" w:right="45"/>
        <w:rPr>
          <w:sz w:val="21"/>
          <w:szCs w:val="21"/>
        </w:rPr>
      </w:pPr>
      <w:r>
        <w:rPr>
          <w:rFonts w:ascii="微软雅黑" w:eastAsia="微软雅黑" w:hAnsi="微软雅黑" w:hint="eastAsia"/>
          <w:color w:val="313131"/>
        </w:rPr>
        <w:t xml:space="preserve">　　</w:t>
      </w:r>
      <w:r>
        <w:rPr>
          <w:rFonts w:ascii="微软雅黑" w:eastAsia="微软雅黑" w:hAnsi="微软雅黑" w:hint="eastAsia"/>
          <w:color w:val="000000"/>
        </w:rPr>
        <w:t>附件：江门市</w:t>
      </w:r>
      <w:r w:rsidR="00196D63">
        <w:rPr>
          <w:rFonts w:ascii="微软雅黑" w:eastAsia="微软雅黑" w:hAnsi="微软雅黑" w:hint="eastAsia"/>
          <w:color w:val="000000"/>
        </w:rPr>
        <w:t>新会区区级</w:t>
      </w:r>
      <w:r>
        <w:rPr>
          <w:rFonts w:ascii="微软雅黑" w:eastAsia="微软雅黑" w:hAnsi="微软雅黑" w:hint="eastAsia"/>
          <w:color w:val="000000"/>
        </w:rPr>
        <w:t>非营</w:t>
      </w:r>
      <w:r w:rsidRPr="00196D63">
        <w:rPr>
          <w:rFonts w:ascii="微软雅黑" w:eastAsia="微软雅黑" w:hAnsi="微软雅黑" w:hint="eastAsia"/>
        </w:rPr>
        <w:t>利组织</w:t>
      </w:r>
      <w:r w:rsidR="00196D63">
        <w:rPr>
          <w:rFonts w:ascii="微软雅黑" w:eastAsia="微软雅黑" w:hAnsi="微软雅黑" w:hint="eastAsia"/>
          <w:u w:val="single"/>
        </w:rPr>
        <w:t xml:space="preserve">    </w:t>
      </w:r>
      <w:r w:rsidR="00196D63" w:rsidRPr="00196D63">
        <w:rPr>
          <w:rFonts w:ascii="微软雅黑" w:eastAsia="微软雅黑" w:hAnsi="微软雅黑" w:hint="eastAsia"/>
        </w:rPr>
        <w:t>至</w:t>
      </w:r>
      <w:r w:rsidR="00196D63" w:rsidRPr="00196D63">
        <w:rPr>
          <w:rFonts w:ascii="微软雅黑" w:eastAsia="微软雅黑" w:hAnsi="微软雅黑" w:hint="eastAsia"/>
          <w:u w:val="single"/>
        </w:rPr>
        <w:t xml:space="preserve">    </w:t>
      </w:r>
      <w:r>
        <w:rPr>
          <w:rFonts w:ascii="微软雅黑" w:eastAsia="微软雅黑" w:hAnsi="微软雅黑" w:hint="eastAsia"/>
        </w:rPr>
        <w:t>年度免税资格申请表及申请报告</w:t>
      </w:r>
    </w:p>
    <w:p w:rsidR="00F93500" w:rsidRPr="00E51CAE" w:rsidRDefault="00902341"/>
    <w:sectPr w:rsidR="00F93500" w:rsidRPr="00E51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41" w:rsidRDefault="00902341" w:rsidP="00FB6E8C">
      <w:r>
        <w:separator/>
      </w:r>
    </w:p>
  </w:endnote>
  <w:endnote w:type="continuationSeparator" w:id="0">
    <w:p w:rsidR="00902341" w:rsidRDefault="00902341" w:rsidP="00FB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41" w:rsidRDefault="00902341" w:rsidP="00FB6E8C">
      <w:r>
        <w:separator/>
      </w:r>
    </w:p>
  </w:footnote>
  <w:footnote w:type="continuationSeparator" w:id="0">
    <w:p w:rsidR="00902341" w:rsidRDefault="00902341" w:rsidP="00FB6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AE"/>
    <w:rsid w:val="000063F0"/>
    <w:rsid w:val="0002724B"/>
    <w:rsid w:val="00196D63"/>
    <w:rsid w:val="00362E43"/>
    <w:rsid w:val="005C03D4"/>
    <w:rsid w:val="005F16A8"/>
    <w:rsid w:val="0064191D"/>
    <w:rsid w:val="006C1ABA"/>
    <w:rsid w:val="006D6B8A"/>
    <w:rsid w:val="007002D4"/>
    <w:rsid w:val="007A51FF"/>
    <w:rsid w:val="00823957"/>
    <w:rsid w:val="008A53D2"/>
    <w:rsid w:val="00902341"/>
    <w:rsid w:val="00AA343F"/>
    <w:rsid w:val="00C7544D"/>
    <w:rsid w:val="00E37138"/>
    <w:rsid w:val="00E51CAE"/>
    <w:rsid w:val="00F21A06"/>
    <w:rsid w:val="00FB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1CAE"/>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E51C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1CAE"/>
    <w:rPr>
      <w:b/>
      <w:bCs/>
    </w:rPr>
  </w:style>
  <w:style w:type="paragraph" w:styleId="a5">
    <w:name w:val="header"/>
    <w:basedOn w:val="a"/>
    <w:link w:val="Char"/>
    <w:uiPriority w:val="99"/>
    <w:unhideWhenUsed/>
    <w:rsid w:val="00FB6E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6E8C"/>
    <w:rPr>
      <w:sz w:val="18"/>
      <w:szCs w:val="18"/>
    </w:rPr>
  </w:style>
  <w:style w:type="paragraph" w:styleId="a6">
    <w:name w:val="footer"/>
    <w:basedOn w:val="a"/>
    <w:link w:val="Char0"/>
    <w:uiPriority w:val="99"/>
    <w:unhideWhenUsed/>
    <w:rsid w:val="00FB6E8C"/>
    <w:pPr>
      <w:tabs>
        <w:tab w:val="center" w:pos="4153"/>
        <w:tab w:val="right" w:pos="8306"/>
      </w:tabs>
      <w:snapToGrid w:val="0"/>
      <w:jc w:val="left"/>
    </w:pPr>
    <w:rPr>
      <w:sz w:val="18"/>
      <w:szCs w:val="18"/>
    </w:rPr>
  </w:style>
  <w:style w:type="character" w:customStyle="1" w:styleId="Char0">
    <w:name w:val="页脚 Char"/>
    <w:basedOn w:val="a0"/>
    <w:link w:val="a6"/>
    <w:uiPriority w:val="99"/>
    <w:rsid w:val="00FB6E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1CAE"/>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E51C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1CAE"/>
    <w:rPr>
      <w:b/>
      <w:bCs/>
    </w:rPr>
  </w:style>
  <w:style w:type="paragraph" w:styleId="a5">
    <w:name w:val="header"/>
    <w:basedOn w:val="a"/>
    <w:link w:val="Char"/>
    <w:uiPriority w:val="99"/>
    <w:unhideWhenUsed/>
    <w:rsid w:val="00FB6E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B6E8C"/>
    <w:rPr>
      <w:sz w:val="18"/>
      <w:szCs w:val="18"/>
    </w:rPr>
  </w:style>
  <w:style w:type="paragraph" w:styleId="a6">
    <w:name w:val="footer"/>
    <w:basedOn w:val="a"/>
    <w:link w:val="Char0"/>
    <w:uiPriority w:val="99"/>
    <w:unhideWhenUsed/>
    <w:rsid w:val="00FB6E8C"/>
    <w:pPr>
      <w:tabs>
        <w:tab w:val="center" w:pos="4153"/>
        <w:tab w:val="right" w:pos="8306"/>
      </w:tabs>
      <w:snapToGrid w:val="0"/>
      <w:jc w:val="left"/>
    </w:pPr>
    <w:rPr>
      <w:sz w:val="18"/>
      <w:szCs w:val="18"/>
    </w:rPr>
  </w:style>
  <w:style w:type="character" w:customStyle="1" w:styleId="Char0">
    <w:name w:val="页脚 Char"/>
    <w:basedOn w:val="a0"/>
    <w:link w:val="a6"/>
    <w:uiPriority w:val="99"/>
    <w:rsid w:val="00FB6E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16471">
      <w:bodyDiv w:val="1"/>
      <w:marLeft w:val="0"/>
      <w:marRight w:val="0"/>
      <w:marTop w:val="0"/>
      <w:marBottom w:val="0"/>
      <w:divBdr>
        <w:top w:val="none" w:sz="0" w:space="0" w:color="auto"/>
        <w:left w:val="none" w:sz="0" w:space="0" w:color="auto"/>
        <w:bottom w:val="none" w:sz="0" w:space="0" w:color="auto"/>
        <w:right w:val="none" w:sz="0" w:space="0" w:color="auto"/>
      </w:divBdr>
      <w:divsChild>
        <w:div w:id="440926389">
          <w:marLeft w:val="0"/>
          <w:marRight w:val="0"/>
          <w:marTop w:val="240"/>
          <w:marBottom w:val="0"/>
          <w:divBdr>
            <w:top w:val="none" w:sz="0" w:space="0" w:color="auto"/>
            <w:left w:val="none" w:sz="0" w:space="0" w:color="auto"/>
            <w:bottom w:val="none" w:sz="0" w:space="0" w:color="auto"/>
            <w:right w:val="none" w:sz="0" w:space="0" w:color="auto"/>
          </w:divBdr>
          <w:divsChild>
            <w:div w:id="2093578513">
              <w:marLeft w:val="0"/>
              <w:marRight w:val="0"/>
              <w:marTop w:val="0"/>
              <w:marBottom w:val="0"/>
              <w:divBdr>
                <w:top w:val="none" w:sz="0" w:space="0" w:color="auto"/>
                <w:left w:val="none" w:sz="0" w:space="0" w:color="auto"/>
                <w:bottom w:val="none" w:sz="0" w:space="0" w:color="auto"/>
                <w:right w:val="none" w:sz="0" w:space="0" w:color="auto"/>
              </w:divBdr>
              <w:divsChild>
                <w:div w:id="145822771">
                  <w:marLeft w:val="0"/>
                  <w:marRight w:val="0"/>
                  <w:marTop w:val="0"/>
                  <w:marBottom w:val="0"/>
                  <w:divBdr>
                    <w:top w:val="none" w:sz="0" w:space="0" w:color="auto"/>
                    <w:left w:val="none" w:sz="0" w:space="0" w:color="auto"/>
                    <w:bottom w:val="none" w:sz="0" w:space="0" w:color="auto"/>
                    <w:right w:val="none" w:sz="0" w:space="0" w:color="auto"/>
                  </w:divBdr>
                  <w:divsChild>
                    <w:div w:id="1975938406">
                      <w:marLeft w:val="0"/>
                      <w:marRight w:val="0"/>
                      <w:marTop w:val="375"/>
                      <w:marBottom w:val="0"/>
                      <w:divBdr>
                        <w:top w:val="none" w:sz="0" w:space="0" w:color="auto"/>
                        <w:left w:val="none" w:sz="0" w:space="0" w:color="auto"/>
                        <w:bottom w:val="none" w:sz="0" w:space="0" w:color="auto"/>
                        <w:right w:val="none" w:sz="0" w:space="0" w:color="auto"/>
                      </w:divBdr>
                      <w:divsChild>
                        <w:div w:id="7744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china</cp:lastModifiedBy>
  <cp:revision>11</cp:revision>
  <cp:lastPrinted>2018-08-22T09:55:00Z</cp:lastPrinted>
  <dcterms:created xsi:type="dcterms:W3CDTF">2018-08-22T02:20:00Z</dcterms:created>
  <dcterms:modified xsi:type="dcterms:W3CDTF">2018-09-06T00:46:00Z</dcterms:modified>
</cp:coreProperties>
</file>