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新会区“黄金十条”2019年第三批自动兑付奖励计划表</w:t>
      </w: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（发展贡献奖励）</w:t>
      </w:r>
    </w:p>
    <w:tbl>
      <w:tblPr>
        <w:tblStyle w:val="4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2715"/>
        <w:gridCol w:w="231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西脉国际医疗股份有限公司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415,330.00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江门市恒达管桩有限公司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112,084.00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江门市海艺印刷有限公司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江门市雅泰纺织有限公司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江门市世键热能有限公司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江门市想天照明科技有限公司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江门市康丰木业有限公司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广东百基拉科技有限公司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江门市铨胜涂料有限公司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江门市亮而彩照明电器有限公司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广东百基智能电气设备有限公司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江门市多美无纺布有限公司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江门市深星贸易有限公司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奖励个人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7,414.00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5ABE"/>
    <w:rsid w:val="42D55A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2019-08-26T07:42:00Z</dcterms:created>
  <dc:creator>郭宇莹</dc:creator>
  <cp:lastModifiedBy>郭宇莹</cp:lastModifiedBy>
  <dcterms:modified xsi:type="dcterms:W3CDTF">2019-08-26T07:42:40Z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